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8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numPr>
          <w:ilvl w:val="0"/>
          <w:numId w:val="2"/>
        </w:numPr>
        <w:tabs>
          <w:tab w:val="left" w:leader="none" w:pos="622"/>
        </w:tabs>
        <w:ind w:left="622" w:hanging="358"/>
        <w:jc w:val="left"/>
        <w:rPr/>
      </w:pPr>
      <w:r w:rsidDel="00000000" w:rsidR="00000000" w:rsidRPr="00000000">
        <w:rPr>
          <w:rtl w:val="0"/>
        </w:rPr>
        <w:t xml:space="preserve">ASPECTOS GENERALES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15.0" w:type="dxa"/>
        <w:jc w:val="left"/>
        <w:tblInd w:w="3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05"/>
        <w:gridCol w:w="4110"/>
        <w:tblGridChange w:id="0">
          <w:tblGrid>
            <w:gridCol w:w="5205"/>
            <w:gridCol w:w="4110"/>
          </w:tblGrid>
        </w:tblGridChange>
      </w:tblGrid>
      <w:tr>
        <w:trPr>
          <w:cantSplit w:val="0"/>
          <w:trHeight w:val="505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No. DE EXPEDIENTE</w:t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2" w:lineRule="auto"/>
              <w:ind w:left="175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 202576002100100007E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No. de contrato o convenio</w:t>
            </w:r>
          </w:p>
        </w:tc>
        <w:tc>
          <w:tcPr/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2" w:line="251" w:lineRule="auto"/>
              <w:ind w:left="175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768</w:t>
            </w:r>
            <w:r w:rsidDel="00000000" w:rsidR="00000000" w:rsidRPr="00000000">
              <w:rPr>
                <w:color w:val="000000"/>
                <w:rtl w:val="0"/>
              </w:rPr>
              <w:t xml:space="preserve"> DE 2024</w:t>
            </w:r>
          </w:p>
        </w:tc>
      </w:tr>
      <w:tr>
        <w:trPr>
          <w:cantSplit w:val="0"/>
          <w:trHeight w:val="758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Tipo de contrato</w:t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CONVENIO INTERADMINISTRATIVO</w:t>
            </w:r>
          </w:p>
        </w:tc>
      </w:tr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Contratista</w:t>
            </w:r>
          </w:p>
        </w:tc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003"/>
                <w:tab w:val="left" w:leader="none" w:pos="3396"/>
              </w:tabs>
              <w:ind w:left="112" w:right="103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ASOCIACIÓN NACIONAL DE MÚSICA SINFÓNICA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Objeto del contrato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before="5" w:line="235" w:lineRule="auto"/>
              <w:ind w:right="8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“Aunar esfuerzos institucionales, administrativos, técnicos, financieros y tecnológicos entre la Secretaría Distrital de Cultura Recreación y Deporte y la Asociación Nacional de Música Sinfónica, para la estructuración, preparación, lanzamiento, divulgación y previsión en general del Concurso Internacional de Violín 2025” </w:t>
            </w:r>
          </w:p>
        </w:tc>
      </w:tr>
      <w:tr>
        <w:trPr>
          <w:cantSplit w:val="0"/>
          <w:trHeight w:val="37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Rule="auto"/>
              <w:ind w:left="141" w:hanging="141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Plazo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5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Desde 6/12/2024 hasta el 28/11/2025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1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del cumplimiento de los requisitos de ejecución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6/12/2024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8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inicio de cobertura de la ARL (esto para contratos de prestación de servicios profesionales y de apoyo a la gestión)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inicio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6/12/2024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color w:val="000000"/>
        </w:rPr>
        <w:sectPr>
          <w:headerReference r:id="rId7" w:type="default"/>
          <w:pgSz w:h="15840" w:w="12240" w:orient="portrait"/>
          <w:pgMar w:bottom="280" w:top="3040" w:left="1440" w:right="1080" w:header="1022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1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2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40"/>
        <w:gridCol w:w="4112"/>
        <w:tblGridChange w:id="0">
          <w:tblGrid>
            <w:gridCol w:w="5240"/>
            <w:gridCol w:w="4112"/>
          </w:tblGrid>
        </w:tblGridChange>
      </w:tblGrid>
      <w:tr>
        <w:trPr>
          <w:cantSplit w:val="0"/>
          <w:trHeight w:val="503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terminación</w:t>
            </w:r>
          </w:p>
        </w:tc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28/11/2025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6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Período analizado o certificado (dd/mm/aa)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DEL </w:t>
            </w:r>
            <w:r w:rsidDel="00000000" w:rsidR="00000000" w:rsidRPr="00000000">
              <w:rPr>
                <w:rtl w:val="0"/>
              </w:rPr>
              <w:t xml:space="preserve">06</w:t>
            </w:r>
            <w:r w:rsidDel="00000000" w:rsidR="00000000" w:rsidRPr="00000000">
              <w:rPr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tl w:val="0"/>
              </w:rPr>
              <w:t xml:space="preserve">12</w:t>
            </w:r>
            <w:r w:rsidDel="00000000" w:rsidR="00000000" w:rsidRPr="00000000">
              <w:rPr>
                <w:color w:val="000000"/>
                <w:rtl w:val="0"/>
              </w:rPr>
              <w:t xml:space="preserve">/2024 AL 31/12/2024</w:t>
            </w:r>
          </w:p>
        </w:tc>
      </w:tr>
      <w:tr>
        <w:trPr>
          <w:cantSplit w:val="0"/>
          <w:trHeight w:val="191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right="88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Estado de la Garantía. (Se deberá dejar constancia si la garantía se encuentra vigente o no de conformidad con lo exigido en el contrato, así mismo en el evento en que la garantía haya tenido actualizaciones con ocasión a alguna modificación deberá señalarse tal situación e incorporar la fecha de aprobación de la modificación de la garantía)</w:t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3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22"/>
        </w:tabs>
        <w:spacing w:before="1" w:lineRule="auto"/>
        <w:ind w:left="622" w:hanging="358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INFORME SOBRE EJECUCIÓN Y AVANCE DEL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91" w:lineRule="auto"/>
        <w:ind w:left="374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continuación se presenta el estado de avance de la ejecución del Convenio N°</w:t>
      </w:r>
      <w:r w:rsidDel="00000000" w:rsidR="00000000" w:rsidRPr="00000000">
        <w:rPr>
          <w:rtl w:val="0"/>
        </w:rPr>
        <w:t xml:space="preserve">768</w:t>
      </w:r>
      <w:r w:rsidDel="00000000" w:rsidR="00000000" w:rsidRPr="00000000">
        <w:rPr>
          <w:color w:val="000000"/>
          <w:rtl w:val="0"/>
        </w:rPr>
        <w:t xml:space="preserve"> de 2024.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76200</wp:posOffset>
                </wp:positionV>
                <wp:extent cx="5972175" cy="4806314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73565" y="1457170"/>
                          <a:ext cx="5944870" cy="4645660"/>
                        </a:xfrm>
                        <a:custGeom>
                          <a:rect b="b" l="l" r="r" t="t"/>
                          <a:pathLst>
                            <a:path extrusionOk="0" h="4645660" w="5944870">
                              <a:moveTo>
                                <a:pt x="5944870" y="0"/>
                              </a:moveTo>
                              <a:lnTo>
                                <a:pt x="5938520" y="0"/>
                              </a:lnTo>
                              <a:lnTo>
                                <a:pt x="5938520" y="6350"/>
                              </a:lnTo>
                              <a:lnTo>
                                <a:pt x="5938520" y="4640580"/>
                              </a:lnTo>
                              <a:lnTo>
                                <a:pt x="6350" y="4640580"/>
                              </a:lnTo>
                              <a:lnTo>
                                <a:pt x="6350" y="6350"/>
                              </a:lnTo>
                              <a:lnTo>
                                <a:pt x="5938520" y="6350"/>
                              </a:lnTo>
                              <a:lnTo>
                                <a:pt x="593852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4640580"/>
                              </a:lnTo>
                              <a:lnTo>
                                <a:pt x="0" y="4645660"/>
                              </a:lnTo>
                              <a:lnTo>
                                <a:pt x="5938520" y="4645660"/>
                              </a:lnTo>
                              <a:lnTo>
                                <a:pt x="5944870" y="4645660"/>
                              </a:lnTo>
                              <a:lnTo>
                                <a:pt x="59448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76200</wp:posOffset>
                </wp:positionV>
                <wp:extent cx="5972175" cy="4806314"/>
                <wp:effectExtent b="0" l="0" r="0" t="0"/>
                <wp:wrapNone/>
                <wp:docPr id="1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72175" cy="480631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51" w:lineRule="auto"/>
        <w:ind w:left="374" w:right="211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Con la suscripción y legalización del Convenio N°</w:t>
      </w:r>
      <w:r w:rsidDel="00000000" w:rsidR="00000000" w:rsidRPr="00000000">
        <w:rPr>
          <w:rtl w:val="0"/>
        </w:rPr>
        <w:t xml:space="preserve">768</w:t>
      </w:r>
      <w:r w:rsidDel="00000000" w:rsidR="00000000" w:rsidRPr="00000000">
        <w:rPr>
          <w:color w:val="000000"/>
          <w:rtl w:val="0"/>
        </w:rPr>
        <w:t xml:space="preserve"> de 2024 el </w:t>
      </w:r>
      <w:r w:rsidDel="00000000" w:rsidR="00000000" w:rsidRPr="00000000">
        <w:rPr>
          <w:rtl w:val="0"/>
        </w:rPr>
        <w:t xml:space="preserve">4 de diciembr</w:t>
      </w:r>
      <w:r w:rsidDel="00000000" w:rsidR="00000000" w:rsidRPr="00000000">
        <w:rPr>
          <w:color w:val="000000"/>
          <w:rtl w:val="0"/>
        </w:rPr>
        <w:t xml:space="preserve">e 2024, se llevó a cabo el siguiente Comité Técnico No. 1, tal y como se evidencia en el Acta N°1 radicada bajo el número de Orfeo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20251000272083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74" w:right="223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En la sesión del Comité Técnico No. 1,</w:t>
      </w:r>
      <w:r w:rsidDel="00000000" w:rsidR="00000000" w:rsidRPr="00000000">
        <w:rPr>
          <w:rtl w:val="0"/>
        </w:rPr>
        <w:t xml:space="preserve">se aprobaron los puntos propuestos en el desarrollo del mismo de la siguiente manera: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720" w:right="199" w:firstLine="0"/>
        <w:jc w:val="both"/>
        <w:rPr/>
      </w:pPr>
      <w:r w:rsidDel="00000000" w:rsidR="00000000" w:rsidRPr="00000000">
        <w:rPr>
          <w:rtl w:val="0"/>
        </w:rPr>
        <w:t xml:space="preserve">1. Aprobación del presupuesto del convenio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720" w:right="199" w:firstLine="0"/>
        <w:jc w:val="both"/>
        <w:rPr/>
      </w:pPr>
      <w:r w:rsidDel="00000000" w:rsidR="00000000" w:rsidRPr="00000000">
        <w:rPr>
          <w:rtl w:val="0"/>
        </w:rPr>
        <w:t xml:space="preserve">1.1. Adopción de una tasa techo de 4.500 pesos colombianos por cada dólar de acuerdo a las proyecciones del comportamiento de la divisa en los meses a venir.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720" w:right="199" w:firstLine="0"/>
        <w:jc w:val="both"/>
        <w:rPr/>
      </w:pPr>
      <w:r w:rsidDel="00000000" w:rsidR="00000000" w:rsidRPr="00000000">
        <w:rPr>
          <w:rtl w:val="0"/>
        </w:rPr>
        <w:t xml:space="preserve">1.2. Designación de la compositora Carolina Noguera para la creación de la obra comisionada del concurso..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720" w:right="199" w:firstLine="0"/>
        <w:jc w:val="both"/>
        <w:rPr/>
      </w:pPr>
      <w:r w:rsidDel="00000000" w:rsidR="00000000" w:rsidRPr="00000000">
        <w:rPr>
          <w:rtl w:val="0"/>
        </w:rPr>
        <w:t xml:space="preserve">1.3. Aprobación del presupuesto para las actividades de divulgación y garantizar la promoción efectiva del evento.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705"/>
        </w:tabs>
        <w:ind w:left="720" w:right="199" w:firstLine="0"/>
        <w:jc w:val="both"/>
        <w:rPr/>
      </w:pPr>
      <w:r w:rsidDel="00000000" w:rsidR="00000000" w:rsidRPr="00000000">
        <w:rPr>
          <w:rtl w:val="0"/>
        </w:rPr>
        <w:t xml:space="preserve">1.4. Aprobación de presupuesto de Pauta digital, pauta en medios masivos nacionales y pauta en medios especializados internacionales.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705"/>
        </w:tabs>
        <w:ind w:left="720" w:right="199" w:firstLine="0"/>
        <w:jc w:val="both"/>
        <w:rPr/>
      </w:pPr>
      <w:r w:rsidDel="00000000" w:rsidR="00000000" w:rsidRPr="00000000">
        <w:rPr>
          <w:rtl w:val="0"/>
        </w:rPr>
        <w:t xml:space="preserve"> 2. Aprobación del cronograma de actividades.</w:t>
      </w:r>
    </w:p>
    <w:p w:rsidR="00000000" w:rsidDel="00000000" w:rsidP="00000000" w:rsidRDefault="00000000" w:rsidRPr="00000000" w14:paraId="0000002E">
      <w:pPr>
        <w:tabs>
          <w:tab w:val="left" w:leader="none" w:pos="1092"/>
          <w:tab w:val="left" w:leader="none" w:pos="705"/>
        </w:tabs>
        <w:ind w:left="720" w:right="199" w:firstLine="0"/>
        <w:jc w:val="both"/>
        <w:rPr/>
      </w:pPr>
      <w:r w:rsidDel="00000000" w:rsidR="00000000" w:rsidRPr="00000000">
        <w:rPr>
          <w:rtl w:val="0"/>
        </w:rPr>
        <w:t xml:space="preserve">       3. De acuerdo con la cláusula 5 en los numerales 3. y 7., el comité operativo está facultado para tomar decisiones que permitan lograr el adecuado funcionamiento del convenio. </w:t>
        <w:tab/>
        <w:t xml:space="preserve">Por lo tanto, y teniendo en cuenta que el coordinador se requiere a partir del año 2025, su vinculación se dará en enero de 2025, avanzando en los trámites pre-contractuales desde diciembre de 2024 por eso se de a aprobada la hoja de vida </w:t>
        <w:tab/>
        <w:t xml:space="preserve">del candidato Guillermo Guevara, </w:t>
      </w:r>
    </w:p>
    <w:p w:rsidR="00000000" w:rsidDel="00000000" w:rsidP="00000000" w:rsidRDefault="00000000" w:rsidRPr="00000000" w14:paraId="0000002F">
      <w:pPr>
        <w:tabs>
          <w:tab w:val="left" w:leader="none" w:pos="1092"/>
          <w:tab w:val="left" w:leader="none" w:pos="1094"/>
        </w:tabs>
        <w:ind w:right="19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0"/>
        </w:tabs>
        <w:ind w:left="425" w:right="199" w:firstLine="0"/>
        <w:jc w:val="both"/>
        <w:rPr/>
      </w:pPr>
      <w:r w:rsidDel="00000000" w:rsidR="00000000" w:rsidRPr="00000000">
        <w:rPr>
          <w:rtl w:val="0"/>
        </w:rPr>
        <w:t xml:space="preserve">De acuerdo con la CLÁUSULA SEGUNDA – FORMA DE PAGO: , Por la SCRD, se aportarán recursos por valor de SEISCIENTOS MILLONES DE PESOS ($600.000.000,00) M/CTE., amparados bajo el certificado de disponibilidad presupuestal 1893,  (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https://drive.google.com/file/d/1xrXbW4MvOIjr3no2I0jLVFs-mHScSLd7/view?usp=drive_link</w:t>
        </w:r>
      </w:hyperlink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0"/>
        </w:tabs>
        <w:ind w:left="425" w:right="199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420"/>
        </w:tabs>
        <w:ind w:left="425" w:right="199" w:firstLine="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La Asociación Sinfónica Nacional ha hecho entrega de: 1) El cronograma de actividades; 2) El presupuesto definitivo y 3) La vinculación del coordinador de producción.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77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32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spacing w:line="252.00000000000003" w:lineRule="auto"/>
        <w:ind w:left="264" w:firstLine="0"/>
        <w:jc w:val="left"/>
        <w:rPr/>
      </w:pPr>
      <w:r w:rsidDel="00000000" w:rsidR="00000000" w:rsidRPr="00000000">
        <w:rPr>
          <w:rtl w:val="0"/>
        </w:rPr>
        <w:t xml:space="preserve">A continuación, se procede a rendir el informe sobre la ejecución y cumplimiento del objeto contratado y cada una de las obligaciones pactadas así: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67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1: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771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spacing w:before="248" w:line="229" w:lineRule="auto"/>
              <w:ind w:right="4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Desarrollar las actividades definidas en el Anexo Técnico y el plan de trabajo aprobado en el  comité técnico, adelantando los procesos de selección, las alianzas estratégicas y las  contrataciones pertinentes.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before="4" w:line="241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Para esta actividad se plantearon las necesidades de comunicaciones y equipo de colaboradores, así como la vinculación de la compositora seleccionada para la obra comisionada del Concurso.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2: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</w:tbl>
    <w:p w:rsidR="00000000" w:rsidDel="00000000" w:rsidP="00000000" w:rsidRDefault="00000000" w:rsidRPr="00000000" w14:paraId="00000041">
      <w:pPr>
        <w:spacing w:before="41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pPr w:leftFromText="180" w:rightFromText="180" w:topFromText="180" w:bottomFromText="180" w:vertAnchor="text" w:horzAnchor="text" w:tblpX="255" w:tblpY="1.3505859375027285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1425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spacing w:before="3" w:line="229" w:lineRule="auto"/>
              <w:ind w:right="5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Disponer de los recursos humanos, técnicos, tecnológicos, operativos y logísticos, para el  desarrollo de las actividades a su cargo, según lo que se indique en el Anexo Técnico del  Convenio. 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before="4" w:line="241" w:lineRule="auto"/>
              <w:ind w:left="112" w:firstLine="0"/>
              <w:rPr/>
            </w:pPr>
            <w:r w:rsidDel="00000000" w:rsidR="00000000" w:rsidRPr="00000000">
              <w:rPr>
                <w:rtl w:val="0"/>
              </w:rPr>
              <w:t xml:space="preserve">La Asociación Nacional de Música Sinfónica presentó a su equipo administrativo, técnico y jurídico, que atenderá las necesidades.</w:t>
            </w:r>
          </w:p>
        </w:tc>
      </w:tr>
    </w:tbl>
    <w:p w:rsidR="00000000" w:rsidDel="00000000" w:rsidP="00000000" w:rsidRDefault="00000000" w:rsidRPr="00000000" w14:paraId="00000044">
      <w:pPr>
        <w:spacing w:before="181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3: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3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264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8" w:line="229" w:lineRule="auto"/>
              <w:ind w:right="4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Adelantar las actividades necesarias para contar con el recurso humano idóneo, capacitado  y pertinente que realizará la Coordinación de Producción y que debe ser Aprobado por el  Comité técnico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before="4" w:line="241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analizaron tres perfiles para la coordinación de producción del evento y se vinculará al más idóneo, que corresponde al señor Guillermo Guevara.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4: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885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Participar en el comité técnico y acoger las recomendaciones que se impartan en tal  instancia.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right="8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El primer comité técnico operativo se llevó a cabo como consta en el radicado 20247100247712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right="83" w:firstLine="0"/>
              <w:jc w:val="both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https://drive.google.com/file/d/1J95sRUPN_nMrBW1azN2_tVFrt2Pej-ax/view?usp=drive_link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83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5: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012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Ejecutar las actividades propuestas en el plan de trabajo aprobado en el comité técnico, de  acuerdo con su participación y competencias en el convenio.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before="4" w:line="241" w:lineRule="auto"/>
              <w:ind w:left="11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alistaron las tareas a ejecutar una vez el recurso destinado para el convenio sea recibido por el asociado.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color w:val="000000"/>
          <w:rtl w:val="0"/>
        </w:rPr>
        <w:t xml:space="preserve">OBLIGACIÓN No.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560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Elaborar el presupuesto del proyecto y un cronograma de actividades, los cuales deben ser  concertados con el supervisor del convenio y/o el equipo que se designe para dicho fin por  éste, y se someterá a aprobación del comité técnico.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112" w:right="8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Presupuesto entregado, al igual que cronograma, ambos aprobados por el comité técnico operativo 1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112" w:right="83" w:firstLine="0"/>
              <w:jc w:val="both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https://drive.google.com/file/d/18UXY-L0GRyhnDUkJP0ujRZDfGFOBj6xb/view?usp=drive_link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7: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012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Elaborar informes de ejecución mensual con el fin de informar a la contraparte sobre uso de  recursos, informar sobre los inscritos y seleccionados al concurso, además del trabajo con  eventuales patrocinadores.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Por ser el primer comité aún no hay actividades para esta obligación.</w:t>
            </w:r>
          </w:p>
          <w:p w:rsidR="00000000" w:rsidDel="00000000" w:rsidP="00000000" w:rsidRDefault="00000000" w:rsidRPr="00000000" w14:paraId="00000069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8: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518" w:hRule="atLeast"/>
          <w:tblHeader w:val="0"/>
        </w:trPr>
        <w:tc>
          <w:tcPr/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Diseñar y ejecutar la convocatoria internacional, de acuerdo a las pautas definidas en el  anexo técnico, dando respuesta a aspirantes y demás interesados. El diseño de la  convocatoria se concertará con el supervisor y/o el equipo que se designe para dicho fin por  éste y se someterá a aprobación del comité técnico.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La convocatoria está disponible y estará abierta hasta el 30 de abril 2025.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coordinador de producción y todo el equipo técnico estarán al pendiente de su buen desempeño.</w:t>
            </w:r>
          </w:p>
        </w:tc>
      </w:tr>
    </w:tbl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9: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518" w:hRule="atLeast"/>
          <w:tblHeader w:val="0"/>
        </w:trPr>
        <w:tc>
          <w:tcPr/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Realizar la entrega de los premios a los ganadores del concurso de acuerdo a las  especificaciones determinadas en el anexo técnico, según lineamientos que establezca la SCRD.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right="85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Para el cumplimiento de esta obligación </w:t>
            </w:r>
            <w:r w:rsidDel="00000000" w:rsidR="00000000" w:rsidRPr="00000000">
              <w:rPr>
                <w:rtl w:val="0"/>
              </w:rPr>
              <w:t xml:space="preserve">se requiere que el concurso haya tenido lugar. Se aprueba una tasa techo en dólares para tener la provisión de premios lista para ese entonces.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84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10: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2277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Diseñar y ejecutar las condiciones generales de participación, elaboración del repertorio del  concurso, y comisión de obra destinada a ser interpretada durante el concurso, las cuales  deberán ser concertadas con el supervisor y/o el equipo que se designe para dicho fin por  éste y se someterá a aprobación del comité técnico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7" w:lineRule="auto"/>
              <w:ind w:left="112" w:right="8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Las condiciones del concurso ya están publicadas y se ha escogido ya la compositora para comisionar la obra.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7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11: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570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Gestionar y seguir la relación con patrocinadores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1" w:lineRule="auto"/>
              <w:ind w:left="11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Por ser el primer comité aún no hay actividades para esta obligación, se está alistando un brochure de relacionamiento.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12: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516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5" w:lineRule="auto"/>
              <w:ind w:left="110" w:right="85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Gestionar y diseñar los recursos de pauta en medios, prensa internacional y plataformas  digitales.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right="87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aprobaron los recursos de ejecución de prensa de manera preliminar.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13:</w:t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49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9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9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440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5" w:lineRule="auto"/>
              <w:ind w:left="110" w:right="85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Diseñar y ejecutar de manera conjunta entre las partes la estrategia de prensa, publicitación  y medios.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2" w:right="8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Por ser el primer comité aún no hay actividades para esta obligación, aunque se presentó la estrategia a seguir para pauta, medios digitales internacionales, y medios masivos nacionales.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Style w:val="Heading1"/>
        <w:numPr>
          <w:ilvl w:val="0"/>
          <w:numId w:val="2"/>
        </w:numPr>
        <w:tabs>
          <w:tab w:val="left" w:leader="none" w:pos="622"/>
        </w:tabs>
        <w:ind w:left="622" w:hanging="358"/>
        <w:rPr/>
      </w:pPr>
      <w:r w:rsidDel="00000000" w:rsidR="00000000" w:rsidRPr="00000000">
        <w:rPr>
          <w:rtl w:val="0"/>
        </w:rPr>
        <w:t xml:space="preserve">SEGUIMIENTO A LOS RIESGOS DE LA CONTRATACIÓN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84" w:line="254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Conforme la matriz de riesgos definida para el proceso de selección se procedió a efectuar el seguimiento de los mismos así: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2"/>
        </w:tabs>
        <w:spacing w:before="169" w:line="259" w:lineRule="auto"/>
        <w:ind w:left="264" w:right="4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Cambios en la economía nacional o internacional podrían afectar el financiamiento y la sostenibilidad del proyecto. Consecuencia, demoras o imposibilidad de la ejecución del Convenio. El Asociado deberá tener en cuenta los posibles cambios en la economía al momento de presentar su propuesta.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9"/>
        </w:tabs>
        <w:spacing w:before="158" w:line="259" w:lineRule="auto"/>
        <w:ind w:left="264" w:right="38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Cambios en la regulación o demoras en la obtención de permisos y procesos contractuales necesarios pueden afectar los plazos y costos. Consecuencia, demoras en el inicio de ejecución del proyecto o durante su ejecución. En el evento de generarse la afectación, el asociado deberá informar al supervisor de la ocurrencia del hecho y concretar fórmulas de solución con el asociado.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2"/>
        </w:tabs>
        <w:spacing w:before="158" w:line="259" w:lineRule="auto"/>
        <w:ind w:left="264" w:right="47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Fallas tecnológicas en los equipos dispuestos para la ejecución del proyecto. Consecuencia, afectación directa en la ejecución del proyecto o presentaciones. El Asociado deberá contar con equipos de backup y soporte técnico para atender las posible fallas tecnológicas que se presente.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31"/>
        </w:tabs>
        <w:spacing w:before="157" w:line="259" w:lineRule="auto"/>
        <w:ind w:left="264" w:right="39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Cambios de políticas gubernamentales. Consecuencia, puede conllevar a variaciones en el objeto, obligaciones, plazo y ecuación del convenio. Se deben acordar las medidas con el Supervisor para implementar las acciones y las estrategias con el fin de que se ejecuten actividades exigidas.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4"/>
        </w:tabs>
        <w:spacing w:before="163" w:line="259" w:lineRule="auto"/>
        <w:ind w:left="264" w:right="38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Cambio de las condiciones sociales que pueden conllevar a demoras en el cumplimiento de las obligaciones del convenio o cancelación de los eventos.Se deben acordar las medidas con el Supervisor para implementar las acciones y las estrategias con el fin de que se ejecuten actividades exigidas.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3"/>
        </w:tabs>
        <w:spacing w:before="157" w:line="254" w:lineRule="auto"/>
        <w:ind w:left="264" w:right="47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Alteraciones al orden público y condiciones climáticas que pueden llevar a demoras en el cumplimiento de las obligaciones del Convenio o cancelación de los eventos. Se deben acord</w:t>
      </w:r>
      <w:r w:rsidDel="00000000" w:rsidR="00000000" w:rsidRPr="00000000">
        <w:rPr>
          <w:rtl w:val="0"/>
        </w:rPr>
        <w:t xml:space="preserve">ar </w:t>
      </w:r>
      <w:r w:rsidDel="00000000" w:rsidR="00000000" w:rsidRPr="00000000">
        <w:rPr>
          <w:color w:val="000000"/>
          <w:rtl w:val="0"/>
        </w:rPr>
        <w:t xml:space="preserve">las medidas con el Supervisor para implementar las acciones y las estrategias con el fin de que se ejecuten actividades exigidas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9"/>
        </w:tabs>
        <w:spacing w:before="165" w:lineRule="auto"/>
        <w:ind w:left="264" w:right="41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Falla de equipos logísticos y/o de recurso humano a cargo del Asociado. Que conlleva a la afectación en la ejecución del proyecto, representado en demoras o no cumplimiento de los cronogramas. El Asociado deberá garantizar los requisitos </w:t>
      </w:r>
      <w:r w:rsidDel="00000000" w:rsidR="00000000" w:rsidRPr="00000000">
        <w:rPr>
          <w:rtl w:val="0"/>
        </w:rPr>
        <w:t xml:space="preserve">mínimos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logísticos</w:t>
      </w:r>
      <w:r w:rsidDel="00000000" w:rsidR="00000000" w:rsidRPr="00000000">
        <w:rPr>
          <w:color w:val="000000"/>
          <w:rtl w:val="0"/>
        </w:rPr>
        <w:t xml:space="preserve"> y vincular durante toda la ejecución del proyecto al equipo de personal exigido garantizando su permanencia durante todo el proyecto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Style w:val="Heading1"/>
        <w:numPr>
          <w:ilvl w:val="0"/>
          <w:numId w:val="2"/>
        </w:numPr>
        <w:tabs>
          <w:tab w:val="left" w:leader="none" w:pos="622"/>
        </w:tabs>
        <w:ind w:left="622" w:hanging="358"/>
        <w:rPr/>
      </w:pPr>
      <w:r w:rsidDel="00000000" w:rsidR="00000000" w:rsidRPr="00000000">
        <w:rPr>
          <w:rtl w:val="0"/>
        </w:rPr>
        <w:t xml:space="preserve">GESTIÓN DOCUMENTAL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right="41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Se revisó la documentación virtual del expediente contra la física estableciendo que los documentos y evidencias soportes del cumplimiento del contrato, concuerdan y por lo tanto los mismos están completos y son consistentes.</w:t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Style w:val="Heading1"/>
        <w:numPr>
          <w:ilvl w:val="0"/>
          <w:numId w:val="2"/>
        </w:numPr>
        <w:tabs>
          <w:tab w:val="left" w:leader="none" w:pos="826"/>
          <w:tab w:val="left" w:leader="none" w:pos="828"/>
        </w:tabs>
        <w:ind w:left="828" w:right="43" w:hanging="360"/>
        <w:rPr/>
      </w:pPr>
      <w:r w:rsidDel="00000000" w:rsidR="00000000" w:rsidRPr="00000000">
        <w:rPr>
          <w:rtl w:val="0"/>
        </w:rPr>
        <w:t xml:space="preserve">INVENTARIOS: (CUANDO EL CONTRATO CONTENGA OBLIGACIONES DE SUMINISTRO O COMPRA DE BIENES SE DEBE INCLUIR LA SIGUIENTE CONSTANCIA, DE LO CONTRARIO ELIMINAR EL NUMERAL</w:t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52" w:lineRule="auto"/>
        <w:ind w:left="264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No aplica para este Convenio Interadministrativo</w:t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19"/>
          <w:tab w:val="left" w:leader="none" w:pos="621"/>
        </w:tabs>
        <w:ind w:left="621" w:right="45" w:hanging="360"/>
        <w:jc w:val="both"/>
        <w:rPr/>
      </w:pPr>
      <w:r w:rsidDel="00000000" w:rsidR="00000000" w:rsidRPr="00000000">
        <w:rPr>
          <w:b w:val="1"/>
          <w:color w:val="000000"/>
          <w:rtl w:val="0"/>
        </w:rPr>
        <w:t xml:space="preserve">COMITÉS TÉCNICOS U OPERATIVOS DEL CONTRATO (CUANDO EN EL </w:t>
      </w:r>
      <w:r w:rsidDel="00000000" w:rsidR="00000000" w:rsidRPr="00000000">
        <w:rPr>
          <w:color w:val="000000"/>
          <w:rtl w:val="0"/>
        </w:rPr>
        <w:t xml:space="preserve">CONTRATO/CONVENIO SE CONFORME UN COMITÉ, SE DEBE INCLUIR ESTE NUMERAL, DE LO CONTRARIO ELIMINARLO)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9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8835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0"/>
        <w:gridCol w:w="2205"/>
        <w:gridCol w:w="3510"/>
        <w:tblGridChange w:id="0">
          <w:tblGrid>
            <w:gridCol w:w="3120"/>
            <w:gridCol w:w="2205"/>
            <w:gridCol w:w="3510"/>
          </w:tblGrid>
        </w:tblGridChange>
      </w:tblGrid>
      <w:tr>
        <w:trPr>
          <w:cantSplit w:val="0"/>
          <w:trHeight w:val="1017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1" w:right="126" w:firstLine="206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ACTAS DE COMITÉS TÉCNICOS OPERATIVOS</w:t>
            </w:r>
          </w:p>
        </w:tc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88" w:lineRule="auto"/>
              <w:ind w:left="335" w:right="283" w:firstLine="5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FECHA DE RADICACIÓN ORFEO</w:t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7" w:lineRule="auto"/>
              <w:ind w:left="677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NÚMERO DE RADICACIÓN</w:t>
            </w:r>
          </w:p>
        </w:tc>
      </w:tr>
      <w:tr>
        <w:trPr>
          <w:cantSplit w:val="0"/>
          <w:trHeight w:val="691" w:hRule="atLeast"/>
          <w:tblHeader w:val="0"/>
        </w:trPr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88" w:lineRule="auto"/>
              <w:ind w:left="139" w:right="12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COMITÉ TÉCNICO OPERATIVO No. 1</w:t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7" w:lineRule="auto"/>
              <w:ind w:left="155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05/06/2025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line="227" w:lineRule="auto"/>
              <w:ind w:left="151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20251000272083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ind w:left="264" w:firstLine="0"/>
        <w:jc w:val="both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COMITÉS DE OBRA DEL CONTRATO </w:t>
      </w:r>
      <w:r w:rsidDel="00000000" w:rsidR="00000000" w:rsidRPr="00000000">
        <w:rPr>
          <w:rtl w:val="0"/>
        </w:rPr>
        <w:t xml:space="preserve">(CUANDO EL CONTRATO SEA DE OBRA, SE No aplica </w:t>
      </w:r>
      <w:r w:rsidDel="00000000" w:rsidR="00000000" w:rsidRPr="00000000">
        <w:rPr>
          <w:color w:val="000000"/>
          <w:rtl w:val="0"/>
        </w:rPr>
        <w:t xml:space="preserve">para este Convenio Interadministrativo)</w:t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49" w:lineRule="auto"/>
        <w:ind w:left="264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No aplica para este Convenio Interadministrativo</w:t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1"/>
        <w:numPr>
          <w:ilvl w:val="0"/>
          <w:numId w:val="2"/>
        </w:numPr>
        <w:tabs>
          <w:tab w:val="left" w:leader="none" w:pos="622"/>
        </w:tabs>
        <w:ind w:left="622" w:hanging="358"/>
        <w:rPr/>
      </w:pPr>
      <w:r w:rsidDel="00000000" w:rsidR="00000000" w:rsidRPr="00000000">
        <w:rPr>
          <w:rtl w:val="0"/>
        </w:rPr>
        <w:t xml:space="preserve">CONCLUSIONES</w:t>
      </w:r>
    </w:p>
    <w:p w:rsidR="00000000" w:rsidDel="00000000" w:rsidP="00000000" w:rsidRDefault="00000000" w:rsidRPr="00000000" w14:paraId="000000B7">
      <w:pPr>
        <w:tabs>
          <w:tab w:val="left" w:leader="none" w:pos="622"/>
        </w:tabs>
        <w:ind w:left="62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ind w:left="264" w:right="39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Una vez analizados los soportes presentados por el contratista, </w:t>
      </w:r>
      <w:r w:rsidDel="00000000" w:rsidR="00000000" w:rsidRPr="00000000">
        <w:rPr>
          <w:rtl w:val="0"/>
        </w:rPr>
        <w:t xml:space="preserve">está</w:t>
      </w:r>
      <w:r w:rsidDel="00000000" w:rsidR="00000000" w:rsidRPr="00000000">
        <w:rPr>
          <w:color w:val="000000"/>
          <w:rtl w:val="0"/>
        </w:rPr>
        <w:t xml:space="preserve"> supervisión certifica el cumplimiento por parte de la </w:t>
      </w:r>
      <w:r w:rsidDel="00000000" w:rsidR="00000000" w:rsidRPr="00000000">
        <w:rPr>
          <w:rtl w:val="0"/>
        </w:rPr>
        <w:t xml:space="preserve">Asociación Nacional de Música Sinfónica</w:t>
      </w:r>
      <w:r w:rsidDel="00000000" w:rsidR="00000000" w:rsidRPr="00000000">
        <w:rPr>
          <w:color w:val="000000"/>
          <w:rtl w:val="0"/>
        </w:rPr>
        <w:t xml:space="preserve"> del objeto y de cada una de las obligaciones previstas en el Convenio de Asociación No. </w:t>
      </w:r>
      <w:r w:rsidDel="00000000" w:rsidR="00000000" w:rsidRPr="00000000">
        <w:rPr>
          <w:rtl w:val="0"/>
        </w:rPr>
        <w:t xml:space="preserve">768</w:t>
      </w:r>
      <w:r w:rsidDel="00000000" w:rsidR="00000000" w:rsidRPr="00000000">
        <w:rPr>
          <w:color w:val="000000"/>
          <w:rtl w:val="0"/>
        </w:rPr>
        <w:t xml:space="preserve"> de 2024. Así mismo se verifica el cumplimiento de todos los requisitos administrativos para el pago.</w:t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0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Nombre: </w:t>
      </w:r>
      <w:r w:rsidDel="00000000" w:rsidR="00000000" w:rsidRPr="00000000">
        <w:rPr>
          <w:rtl w:val="0"/>
        </w:rPr>
        <w:t xml:space="preserve">NATALIA SEFAIR LÓPEZ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0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Fecha de expedición: 31</w:t>
      </w:r>
      <w:r w:rsidDel="00000000" w:rsidR="00000000" w:rsidRPr="00000000">
        <w:rPr>
          <w:rtl w:val="0"/>
        </w:rPr>
        <w:t xml:space="preserve">/12/2024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Radicado(s) sobre designación de supervisión.</w:t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ind w:left="264" w:firstLine="0"/>
        <w:rPr/>
      </w:pPr>
      <w:r w:rsidDel="00000000" w:rsidR="00000000" w:rsidRPr="00000000">
        <w:rPr>
          <w:rtl w:val="0"/>
        </w:rPr>
        <w:t xml:space="preserve">20242000508353</w:t>
      </w:r>
    </w:p>
    <w:sectPr>
      <w:type w:val="nextPage"/>
      <w:pgSz w:h="15840" w:w="12240" w:orient="portrait"/>
      <w:pgMar w:bottom="280" w:top="3040" w:left="1440" w:right="1080" w:header="1022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18"/>
      <w:tblW w:w="9357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925"/>
      <w:gridCol w:w="4736"/>
      <w:gridCol w:w="2696"/>
      <w:tblGridChange w:id="0">
        <w:tblGrid>
          <w:gridCol w:w="1925"/>
          <w:gridCol w:w="4736"/>
          <w:gridCol w:w="2696"/>
        </w:tblGrid>
      </w:tblGridChange>
    </w:tblGrid>
    <w:tr>
      <w:trPr>
        <w:cantSplit w:val="0"/>
        <w:trHeight w:val="544" w:hRule="atLeast"/>
        <w:tblHeader w:val="0"/>
      </w:trPr>
      <w:tc>
        <w:tcPr>
          <w:vMerge w:val="restart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5" w:lineRule="auto"/>
            <w:ind w:left="1000" w:firstLine="0"/>
            <w:rPr>
              <w:rFonts w:ascii="Arial" w:cs="Arial" w:eastAsia="Arial" w:hAnsi="Arial"/>
              <w:b w:val="1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rtl w:val="0"/>
            </w:rPr>
            <w:t xml:space="preserve">GESTIÓN CONTRACTUAL</w:t>
          </w:r>
        </w:p>
      </w:tc>
      <w:tc>
        <w:tcPr/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5" w:lineRule="auto"/>
            <w:ind w:left="59" w:firstLine="0"/>
            <w:rPr>
              <w:rFonts w:ascii="Times New Roman" w:cs="Times New Roman" w:eastAsia="Times New Roman" w:hAnsi="Times New Roman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CÓDIGO: </w:t>
          </w:r>
          <w:r w:rsidDel="00000000" w:rsidR="00000000" w:rsidRPr="00000000">
            <w:rPr>
              <w:rFonts w:ascii="Times New Roman" w:cs="Times New Roman" w:eastAsia="Times New Roman" w:hAnsi="Times New Roman"/>
              <w:color w:val="000000"/>
              <w:sz w:val="18"/>
              <w:szCs w:val="18"/>
              <w:rtl w:val="0"/>
            </w:rPr>
            <w:t xml:space="preserve">CON-PR-02-FR-01</w:t>
          </w:r>
        </w:p>
      </w:tc>
    </w:tr>
    <w:tr>
      <w:trPr>
        <w:cantSplit w:val="0"/>
        <w:trHeight w:val="477" w:hRule="atLeast"/>
        <w:tblHeader w:val="0"/>
      </w:trPr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38" w:lineRule="auto"/>
            <w:rPr>
              <w:rFonts w:ascii="Times New Roman" w:cs="Times New Roman" w:eastAsia="Times New Roman" w:hAnsi="Times New Roman"/>
              <w:color w:val="000000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ind w:left="763" w:firstLine="0"/>
            <w:rPr>
              <w:rFonts w:ascii="Arial" w:cs="Arial" w:eastAsia="Arial" w:hAnsi="Arial"/>
              <w:b w:val="1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4"/>
              <w:szCs w:val="24"/>
              <w:rtl w:val="0"/>
            </w:rPr>
            <w:t xml:space="preserve">INFORME DE SUPERVISIÓN</w:t>
          </w:r>
        </w:p>
      </w:tc>
      <w:tc>
        <w:tcPr/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3" w:lineRule="auto"/>
            <w:ind w:left="59" w:firstLine="0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VERSIÓN: 1</w:t>
          </w:r>
        </w:p>
      </w:tc>
    </w:tr>
    <w:tr>
      <w:trPr>
        <w:cantSplit w:val="0"/>
        <w:trHeight w:val="489" w:hRule="atLeast"/>
        <w:tblHeader w:val="0"/>
      </w:trPr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6" w:lineRule="auto"/>
            <w:ind w:left="59" w:firstLine="0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FECHA:10/07/2024</w:t>
          </w:r>
        </w:p>
      </w:tc>
    </w:tr>
    <w:tr>
      <w:trPr>
        <w:cantSplit w:val="0"/>
        <w:trHeight w:val="470" w:hRule="atLeast"/>
        <w:tblHeader w:val="0"/>
      </w:trPr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6" w:lineRule="auto"/>
            <w:ind w:left="59" w:firstLine="0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HOJA: 1</w:t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6" w:lineRule="auto"/>
            <w:ind w:left="59" w:firstLine="0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1357630</wp:posOffset>
          </wp:positionH>
          <wp:positionV relativeFrom="page">
            <wp:posOffset>699134</wp:posOffset>
          </wp:positionV>
          <wp:extent cx="604266" cy="662304"/>
          <wp:effectExtent b="0" l="0" r="0" t="0"/>
          <wp:wrapNone/>
          <wp:docPr id="1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4266" cy="66230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64" w:hanging="300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206" w:hanging="300"/>
      </w:pPr>
      <w:rPr/>
    </w:lvl>
    <w:lvl w:ilvl="2">
      <w:start w:val="0"/>
      <w:numFmt w:val="bullet"/>
      <w:lvlText w:val="•"/>
      <w:lvlJc w:val="left"/>
      <w:pPr>
        <w:ind w:left="2152" w:hanging="300"/>
      </w:pPr>
      <w:rPr/>
    </w:lvl>
    <w:lvl w:ilvl="3">
      <w:start w:val="0"/>
      <w:numFmt w:val="bullet"/>
      <w:lvlText w:val="•"/>
      <w:lvlJc w:val="left"/>
      <w:pPr>
        <w:ind w:left="3098" w:hanging="300"/>
      </w:pPr>
      <w:rPr/>
    </w:lvl>
    <w:lvl w:ilvl="4">
      <w:start w:val="0"/>
      <w:numFmt w:val="bullet"/>
      <w:lvlText w:val="•"/>
      <w:lvlJc w:val="left"/>
      <w:pPr>
        <w:ind w:left="4044" w:hanging="300"/>
      </w:pPr>
      <w:rPr/>
    </w:lvl>
    <w:lvl w:ilvl="5">
      <w:start w:val="0"/>
      <w:numFmt w:val="bullet"/>
      <w:lvlText w:val="•"/>
      <w:lvlJc w:val="left"/>
      <w:pPr>
        <w:ind w:left="4990" w:hanging="300"/>
      </w:pPr>
      <w:rPr/>
    </w:lvl>
    <w:lvl w:ilvl="6">
      <w:start w:val="0"/>
      <w:numFmt w:val="bullet"/>
      <w:lvlText w:val="•"/>
      <w:lvlJc w:val="left"/>
      <w:pPr>
        <w:ind w:left="5936" w:hanging="300"/>
      </w:pPr>
      <w:rPr/>
    </w:lvl>
    <w:lvl w:ilvl="7">
      <w:start w:val="0"/>
      <w:numFmt w:val="bullet"/>
      <w:lvlText w:val="•"/>
      <w:lvlJc w:val="left"/>
      <w:pPr>
        <w:ind w:left="6882" w:hanging="300"/>
      </w:pPr>
      <w:rPr/>
    </w:lvl>
    <w:lvl w:ilvl="8">
      <w:start w:val="0"/>
      <w:numFmt w:val="bullet"/>
      <w:lvlText w:val="•"/>
      <w:lvlJc w:val="left"/>
      <w:pPr>
        <w:ind w:left="7828" w:hanging="30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24" w:hanging="360"/>
      </w:pPr>
      <w:rPr>
        <w:rFonts w:ascii="Arial" w:cs="Arial" w:eastAsia="Arial" w:hAnsi="Arial"/>
        <w:b w:val="1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94" w:hanging="360"/>
      </w:pPr>
      <w:rPr>
        <w:rFonts w:ascii="Arial" w:cs="Arial" w:eastAsia="Arial" w:hAnsi="Arial"/>
        <w:b w:val="0"/>
        <w:i w:val="0"/>
        <w:sz w:val="22"/>
        <w:szCs w:val="22"/>
      </w:rPr>
    </w:lvl>
    <w:lvl w:ilvl="2">
      <w:start w:val="0"/>
      <w:numFmt w:val="bullet"/>
      <w:lvlText w:val="•"/>
      <w:lvlJc w:val="left"/>
      <w:pPr>
        <w:ind w:left="2057" w:hanging="360"/>
      </w:pPr>
      <w:rPr/>
    </w:lvl>
    <w:lvl w:ilvl="3">
      <w:start w:val="0"/>
      <w:numFmt w:val="bullet"/>
      <w:lvlText w:val="•"/>
      <w:lvlJc w:val="left"/>
      <w:pPr>
        <w:ind w:left="3015" w:hanging="360"/>
      </w:pPr>
      <w:rPr/>
    </w:lvl>
    <w:lvl w:ilvl="4">
      <w:start w:val="0"/>
      <w:numFmt w:val="bullet"/>
      <w:lvlText w:val="•"/>
      <w:lvlJc w:val="left"/>
      <w:pPr>
        <w:ind w:left="3973" w:hanging="360"/>
      </w:pPr>
      <w:rPr/>
    </w:lvl>
    <w:lvl w:ilvl="5">
      <w:start w:val="0"/>
      <w:numFmt w:val="bullet"/>
      <w:lvlText w:val="•"/>
      <w:lvlJc w:val="left"/>
      <w:pPr>
        <w:ind w:left="4931" w:hanging="360"/>
      </w:pPr>
      <w:rPr/>
    </w:lvl>
    <w:lvl w:ilvl="6">
      <w:start w:val="0"/>
      <w:numFmt w:val="bullet"/>
      <w:lvlText w:val="•"/>
      <w:lvlJc w:val="left"/>
      <w:pPr>
        <w:ind w:left="5888" w:hanging="360"/>
      </w:pPr>
      <w:rPr/>
    </w:lvl>
    <w:lvl w:ilvl="7">
      <w:start w:val="0"/>
      <w:numFmt w:val="bullet"/>
      <w:lvlText w:val="•"/>
      <w:lvlJc w:val="left"/>
      <w:pPr>
        <w:ind w:left="6846" w:hanging="360"/>
      </w:pPr>
      <w:rPr/>
    </w:lvl>
    <w:lvl w:ilvl="8">
      <w:start w:val="0"/>
      <w:numFmt w:val="bullet"/>
      <w:lvlText w:val="•"/>
      <w:lvlJc w:val="left"/>
      <w:pPr>
        <w:ind w:left="7804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622" w:hanging="358"/>
      <w:jc w:val="both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</w:rPr>
  </w:style>
  <w:style w:type="paragraph" w:styleId="Ttulo1">
    <w:name w:val="heading 1"/>
    <w:basedOn w:val="Normal"/>
    <w:uiPriority w:val="9"/>
    <w:qFormat w:val="1"/>
    <w:pPr>
      <w:ind w:left="622" w:hanging="358"/>
      <w:jc w:val="both"/>
      <w:outlineLvl w:val="0"/>
    </w:pPr>
    <w:rPr>
      <w:rFonts w:ascii="Arial" w:cs="Arial" w:eastAsia="Arial" w:hAnsi="Arial"/>
      <w:b w:val="1"/>
      <w:bCs w:val="1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264" w:hanging="360"/>
      <w:jc w:val="both"/>
    </w:pPr>
  </w:style>
  <w:style w:type="paragraph" w:styleId="TableParagraph" w:customStyle="1">
    <w:name w:val="Table Paragraph"/>
    <w:basedOn w:val="Normal"/>
    <w:uiPriority w:val="1"/>
    <w:qFormat w:val="1"/>
    <w:pPr>
      <w:ind w:left="110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0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2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3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4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5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6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7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8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9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a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b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c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d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e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0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1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2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3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4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5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6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7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8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9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a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b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c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d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e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0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1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2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drive.google.com/file/d/18UXY-L0GRyhnDUkJP0ujRZDfGFOBj6xb/view?usp=drive_link" TargetMode="External"/><Relationship Id="rId10" Type="http://schemas.openxmlformats.org/officeDocument/2006/relationships/hyperlink" Target="https://drive.google.com/file/d/1J95sRUPN_nMrBW1azN2_tVFrt2Pej-ax/view?usp=drive_link" TargetMode="External"/><Relationship Id="rId9" Type="http://schemas.openxmlformats.org/officeDocument/2006/relationships/hyperlink" Target="https://drive.google.com/file/d/1xrXbW4MvOIjr3no2I0jLVFs-mHScSLd7/view?usp=drive_li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7M2ZlFSRerL4iY5Ilm6THj3i5Q==">CgMxLjA4AHIhMUtIemNaSFBHU0N4aUVSaWswckFUSURFQ3VVbDVIRWhU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2024-12-17T17:44:00Z</dcterms:created>
  <dc:creator>Edna Cortes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2024-12-17T00:00:00Z</vt:filetime>
  </property>
  <property fmtid="{D5CDD505-2E9C-101B-9397-08002B2CF9AE}" pid="5" name="Producer">
    <vt:lpwstr>Microsoft® Word para Microsoft 365</vt:lpwstr>
  </property>
</Properties>
</file>